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91" w:rsidRPr="00EF7D91" w:rsidRDefault="002576B9" w:rsidP="00EF7D91">
      <w:pPr>
        <w:bidi w:val="0"/>
        <w:spacing w:line="360" w:lineRule="auto"/>
        <w:contextualSpacing/>
        <w:jc w:val="both"/>
        <w:rPr>
          <w:rStyle w:val="fontstyle01"/>
          <w:rFonts w:asciiTheme="majorBidi" w:hAnsiTheme="majorBidi" w:cstheme="majorBidi"/>
          <w:sz w:val="24"/>
          <w:szCs w:val="24"/>
        </w:rPr>
      </w:pPr>
      <w:r w:rsidRPr="00EF7D91">
        <w:rPr>
          <w:rStyle w:val="fontstyle01"/>
          <w:rFonts w:asciiTheme="majorBidi" w:hAnsiTheme="majorBidi" w:cstheme="majorBidi"/>
          <w:sz w:val="24"/>
          <w:szCs w:val="24"/>
        </w:rPr>
        <w:t>Wideband acoustic methods for estimating spillover distance from MPAs:</w:t>
      </w:r>
      <w:r w:rsidR="00EF7D91" w:rsidRPr="00EF7D91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EF7D91">
        <w:rPr>
          <w:rStyle w:val="fontstyle01"/>
          <w:rFonts w:asciiTheme="majorBidi" w:hAnsiTheme="majorBidi" w:cstheme="majorBidi"/>
          <w:sz w:val="24"/>
          <w:szCs w:val="24"/>
        </w:rPr>
        <w:t>development of a reliable moni</w:t>
      </w:r>
      <w:bookmarkStart w:id="0" w:name="_GoBack"/>
      <w:bookmarkEnd w:id="0"/>
      <w:r w:rsidRPr="00EF7D91">
        <w:rPr>
          <w:rStyle w:val="fontstyle01"/>
          <w:rFonts w:asciiTheme="majorBidi" w:hAnsiTheme="majorBidi" w:cstheme="majorBidi"/>
          <w:sz w:val="24"/>
          <w:szCs w:val="24"/>
        </w:rPr>
        <w:t xml:space="preserve">toring tool for quantification of </w:t>
      </w:r>
      <w:proofErr w:type="spellStart"/>
      <w:r w:rsidRPr="00EF7D91">
        <w:rPr>
          <w:rStyle w:val="fontstyle01"/>
          <w:rFonts w:asciiTheme="majorBidi" w:hAnsiTheme="majorBidi" w:cstheme="majorBidi"/>
          <w:sz w:val="24"/>
          <w:szCs w:val="24"/>
        </w:rPr>
        <w:t>biomassand</w:t>
      </w:r>
      <w:proofErr w:type="spellEnd"/>
      <w:r w:rsidRPr="00EF7D91">
        <w:rPr>
          <w:rStyle w:val="fontstyle01"/>
          <w:rFonts w:asciiTheme="majorBidi" w:hAnsiTheme="majorBidi" w:cstheme="majorBidi"/>
          <w:sz w:val="24"/>
          <w:szCs w:val="24"/>
        </w:rPr>
        <w:t xml:space="preserve"> size structure</w:t>
      </w:r>
    </w:p>
    <w:p w:rsidR="007D786B" w:rsidRPr="00EF7D91" w:rsidRDefault="002576B9" w:rsidP="00EF7D91">
      <w:pPr>
        <w:bidi w:val="0"/>
        <w:spacing w:line="360" w:lineRule="auto"/>
        <w:contextualSpacing/>
        <w:jc w:val="both"/>
        <w:rPr>
          <w:rStyle w:val="fontstyle21"/>
          <w:rFonts w:asciiTheme="majorBidi" w:hAnsiTheme="majorBidi" w:cstheme="majorBidi"/>
          <w:b/>
          <w:bCs/>
          <w:sz w:val="24"/>
          <w:szCs w:val="24"/>
        </w:rPr>
      </w:pPr>
      <w:r w:rsidRPr="00EF7D91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Jonathan </w:t>
      </w:r>
      <w:proofErr w:type="spellStart"/>
      <w:r w:rsidRPr="00EF7D91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Belmaker</w:t>
      </w:r>
      <w:proofErr w:type="spellEnd"/>
      <w:r w:rsidRPr="00EF7D91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EF7D91">
        <w:rPr>
          <w:rStyle w:val="fontstyle01"/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  <w:t>1,2</w:t>
      </w:r>
      <w:r w:rsidRPr="00EF7D91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, Ilia Ostrovsky</w:t>
      </w:r>
      <w:r w:rsidRPr="00EF7D91">
        <w:rPr>
          <w:rStyle w:val="fontstyle01"/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  <w:t>3</w:t>
      </w:r>
      <w:r w:rsidRPr="00EF7D91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, Thomas Mehner</w:t>
      </w:r>
      <w:r w:rsidRPr="00EF7D91">
        <w:rPr>
          <w:rStyle w:val="fontstyle01"/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  <w:t>4</w:t>
      </w:r>
    </w:p>
    <w:p w:rsidR="007D786B" w:rsidRPr="00EF7D91" w:rsidRDefault="002576B9" w:rsidP="00EF7D91">
      <w:pPr>
        <w:bidi w:val="0"/>
        <w:spacing w:line="240" w:lineRule="auto"/>
        <w:contextualSpacing/>
        <w:jc w:val="both"/>
        <w:rPr>
          <w:rStyle w:val="fontstyle21"/>
          <w:rFonts w:asciiTheme="majorBidi" w:hAnsiTheme="majorBidi" w:cstheme="majorBidi"/>
        </w:rPr>
      </w:pPr>
      <w:r w:rsidRPr="00EF7D91">
        <w:rPr>
          <w:rStyle w:val="fontstyle21"/>
          <w:rFonts w:asciiTheme="majorBidi" w:hAnsiTheme="majorBidi" w:cstheme="majorBidi"/>
        </w:rPr>
        <w:t>¹School of Zoology, Tel Aviv University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</w:p>
    <w:p w:rsidR="007D786B" w:rsidRPr="00EF7D91" w:rsidRDefault="002576B9" w:rsidP="00EF7D91">
      <w:pPr>
        <w:bidi w:val="0"/>
        <w:spacing w:line="240" w:lineRule="auto"/>
        <w:contextualSpacing/>
        <w:jc w:val="both"/>
        <w:rPr>
          <w:rStyle w:val="fontstyle21"/>
          <w:rFonts w:asciiTheme="majorBidi" w:hAnsiTheme="majorBidi" w:cstheme="majorBidi"/>
        </w:rPr>
      </w:pPr>
      <w:r w:rsidRPr="00EF7D91">
        <w:rPr>
          <w:rStyle w:val="fontstyle21"/>
          <w:rFonts w:asciiTheme="majorBidi" w:hAnsiTheme="majorBidi" w:cstheme="majorBidi"/>
        </w:rPr>
        <w:t>² The Steinhardt Museum of Natural History, Tel Aviv University</w:t>
      </w:r>
    </w:p>
    <w:p w:rsidR="007D786B" w:rsidRPr="00EF7D91" w:rsidRDefault="002576B9" w:rsidP="00EF7D91">
      <w:pPr>
        <w:bidi w:val="0"/>
        <w:spacing w:line="240" w:lineRule="auto"/>
        <w:contextualSpacing/>
        <w:jc w:val="both"/>
        <w:rPr>
          <w:rStyle w:val="fontstyle21"/>
          <w:rFonts w:asciiTheme="majorBidi" w:hAnsiTheme="majorBidi" w:cstheme="majorBidi"/>
        </w:rPr>
      </w:pPr>
      <w:r w:rsidRPr="00EF7D91">
        <w:rPr>
          <w:rStyle w:val="fontstyle21"/>
          <w:rFonts w:asciiTheme="majorBidi" w:hAnsiTheme="majorBidi" w:cstheme="majorBidi"/>
          <w:vertAlign w:val="superscript"/>
        </w:rPr>
        <w:t>3</w:t>
      </w:r>
      <w:r w:rsidRPr="00EF7D91">
        <w:rPr>
          <w:rStyle w:val="fontstyle21"/>
          <w:rFonts w:asciiTheme="majorBidi" w:hAnsiTheme="majorBidi" w:cstheme="majorBidi"/>
        </w:rPr>
        <w:t xml:space="preserve"> Israel Oceanographic and </w:t>
      </w:r>
      <w:proofErr w:type="spellStart"/>
      <w:r w:rsidRPr="00EF7D91">
        <w:rPr>
          <w:rStyle w:val="fontstyle21"/>
          <w:rFonts w:asciiTheme="majorBidi" w:hAnsiTheme="majorBidi" w:cstheme="majorBidi"/>
        </w:rPr>
        <w:t>Limnological</w:t>
      </w:r>
      <w:proofErr w:type="spellEnd"/>
      <w:r w:rsidRPr="00EF7D91">
        <w:rPr>
          <w:rStyle w:val="fontstyle21"/>
          <w:rFonts w:asciiTheme="majorBidi" w:hAnsiTheme="majorBidi" w:cstheme="majorBidi"/>
        </w:rPr>
        <w:t xml:space="preserve"> Research, </w:t>
      </w:r>
      <w:proofErr w:type="spellStart"/>
      <w:r w:rsidRPr="00EF7D91">
        <w:rPr>
          <w:rStyle w:val="fontstyle21"/>
          <w:rFonts w:asciiTheme="majorBidi" w:hAnsiTheme="majorBidi" w:cstheme="majorBidi"/>
        </w:rPr>
        <w:t>Kinneret</w:t>
      </w:r>
      <w:proofErr w:type="spellEnd"/>
      <w:r w:rsidRPr="00EF7D91">
        <w:rPr>
          <w:rStyle w:val="fontstyle21"/>
          <w:rFonts w:asciiTheme="majorBidi" w:hAnsiTheme="majorBidi" w:cstheme="majorBidi"/>
        </w:rPr>
        <w:t xml:space="preserve"> </w:t>
      </w:r>
      <w:proofErr w:type="spellStart"/>
      <w:r w:rsidRPr="00EF7D91">
        <w:rPr>
          <w:rStyle w:val="fontstyle21"/>
          <w:rFonts w:asciiTheme="majorBidi" w:hAnsiTheme="majorBidi" w:cstheme="majorBidi"/>
        </w:rPr>
        <w:t>Limnological</w:t>
      </w:r>
      <w:proofErr w:type="spellEnd"/>
      <w:r w:rsidRPr="00EF7D91">
        <w:rPr>
          <w:rStyle w:val="fontstyle21"/>
          <w:rFonts w:asciiTheme="majorBidi" w:hAnsiTheme="majorBidi" w:cstheme="majorBidi"/>
        </w:rPr>
        <w:t xml:space="preserve"> Laboratory</w:t>
      </w:r>
    </w:p>
    <w:p w:rsidR="007D786B" w:rsidRPr="00EF7D91" w:rsidRDefault="002576B9" w:rsidP="00EF7D91">
      <w:pPr>
        <w:bidi w:val="0"/>
        <w:spacing w:line="240" w:lineRule="auto"/>
        <w:contextualSpacing/>
        <w:jc w:val="both"/>
        <w:rPr>
          <w:rStyle w:val="fontstyle01"/>
          <w:rFonts w:asciiTheme="majorBidi" w:hAnsiTheme="majorBidi" w:cstheme="majorBidi"/>
          <w:sz w:val="22"/>
          <w:szCs w:val="22"/>
        </w:rPr>
      </w:pPr>
      <w:r w:rsidRPr="00EF7D91">
        <w:rPr>
          <w:rStyle w:val="fontstyle21"/>
          <w:rFonts w:asciiTheme="majorBidi" w:hAnsiTheme="majorBidi" w:cstheme="majorBidi"/>
          <w:vertAlign w:val="superscript"/>
        </w:rPr>
        <w:t>4</w:t>
      </w:r>
      <w:r w:rsidRPr="00EF7D91">
        <w:rPr>
          <w:rStyle w:val="fontstyle21"/>
          <w:rFonts w:asciiTheme="majorBidi" w:hAnsiTheme="majorBidi" w:cstheme="majorBidi"/>
        </w:rPr>
        <w:t xml:space="preserve"> Leibniz-Institute of Freshwater Ecology and Inland Fisheries (IGB) Berlin, Germany</w:t>
      </w:r>
    </w:p>
    <w:p w:rsidR="007D786B" w:rsidRPr="00EF7D91" w:rsidRDefault="002576B9" w:rsidP="00EF7D91">
      <w:pPr>
        <w:bidi w:val="0"/>
        <w:spacing w:line="360" w:lineRule="auto"/>
        <w:contextualSpacing/>
        <w:jc w:val="both"/>
        <w:rPr>
          <w:rStyle w:val="fontstyle01"/>
          <w:rFonts w:asciiTheme="majorBidi" w:hAnsiTheme="majorBidi" w:cstheme="majorBidi"/>
          <w:sz w:val="22"/>
          <w:szCs w:val="22"/>
        </w:rPr>
      </w:pPr>
      <w:r w:rsidRPr="00EF7D91">
        <w:rPr>
          <w:rStyle w:val="fontstyle01"/>
          <w:rFonts w:asciiTheme="majorBidi" w:hAnsiTheme="majorBidi" w:cstheme="majorBidi"/>
          <w:b w:val="0"/>
          <w:bCs w:val="0"/>
          <w:sz w:val="22"/>
          <w:szCs w:val="22"/>
        </w:rPr>
        <w:t>Contact details</w:t>
      </w:r>
      <w:r w:rsidRPr="00EF7D91">
        <w:rPr>
          <w:rStyle w:val="fontstyle21"/>
          <w:rFonts w:asciiTheme="majorBidi" w:hAnsiTheme="majorBidi" w:cstheme="majorBidi"/>
          <w:color w:val="333333"/>
        </w:rPr>
        <w:t xml:space="preserve">: </w:t>
      </w:r>
      <w:r w:rsidRPr="00EF7D91">
        <w:rPr>
          <w:rStyle w:val="fontstyle21"/>
          <w:rFonts w:asciiTheme="majorBidi" w:hAnsiTheme="majorBidi" w:cstheme="majorBidi"/>
        </w:rPr>
        <w:t xml:space="preserve">Jonathan </w:t>
      </w:r>
      <w:proofErr w:type="spellStart"/>
      <w:r w:rsidRPr="00EF7D91">
        <w:rPr>
          <w:rStyle w:val="fontstyle21"/>
          <w:rFonts w:asciiTheme="majorBidi" w:hAnsiTheme="majorBidi" w:cstheme="majorBidi"/>
        </w:rPr>
        <w:t>Belmaker</w:t>
      </w:r>
      <w:proofErr w:type="spellEnd"/>
      <w:r w:rsidRPr="00EF7D91">
        <w:rPr>
          <w:rStyle w:val="fontstyle21"/>
          <w:rFonts w:asciiTheme="majorBidi" w:hAnsiTheme="majorBidi" w:cstheme="majorBidi"/>
        </w:rPr>
        <w:t xml:space="preserve">, </w:t>
      </w:r>
      <w:r w:rsidRPr="00EF7D91">
        <w:rPr>
          <w:rStyle w:val="fontstyle21"/>
          <w:rFonts w:asciiTheme="majorBidi" w:hAnsiTheme="majorBidi" w:cstheme="majorBidi"/>
          <w:color w:val="0000FF"/>
        </w:rPr>
        <w:t xml:space="preserve">jbelmaker@post.tau.ac.il </w:t>
      </w:r>
      <w:r w:rsidRPr="00EF7D91">
        <w:rPr>
          <w:rStyle w:val="fontstyle21"/>
          <w:rFonts w:asciiTheme="majorBidi" w:hAnsiTheme="majorBidi" w:cstheme="majorBidi"/>
          <w:color w:val="333333"/>
        </w:rPr>
        <w:t>Tel: 052-4826445</w:t>
      </w:r>
      <w:r w:rsidRPr="00EF7D91">
        <w:rPr>
          <w:rStyle w:val="fontstyle21"/>
          <w:rFonts w:asciiTheme="majorBidi" w:hAnsiTheme="majorBidi" w:cstheme="majorBidi"/>
        </w:rPr>
        <w:t>2</w:t>
      </w:r>
    </w:p>
    <w:p w:rsidR="00EF7D91" w:rsidRDefault="00EF7D91" w:rsidP="00EF7D91">
      <w:pPr>
        <w:bidi w:val="0"/>
        <w:spacing w:line="360" w:lineRule="auto"/>
        <w:contextualSpacing/>
        <w:jc w:val="both"/>
        <w:rPr>
          <w:rStyle w:val="fontstyle21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D786B" w:rsidRPr="00EF7D91" w:rsidRDefault="002576B9" w:rsidP="00EF7D91">
      <w:pPr>
        <w:bidi w:val="0"/>
        <w:spacing w:line="360" w:lineRule="auto"/>
        <w:contextualSpacing/>
        <w:jc w:val="both"/>
        <w:rPr>
          <w:rStyle w:val="fontstyle21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F7D91">
        <w:rPr>
          <w:rStyle w:val="fontstyle21"/>
          <w:rFonts w:asciiTheme="majorBidi" w:hAnsiTheme="majorBidi" w:cstheme="majorBidi"/>
          <w:b/>
          <w:bCs/>
          <w:sz w:val="24"/>
          <w:szCs w:val="24"/>
          <w:u w:val="single"/>
        </w:rPr>
        <w:t>Abstract</w:t>
      </w:r>
    </w:p>
    <w:p w:rsidR="007D786B" w:rsidRPr="00EF7D91" w:rsidRDefault="002576B9" w:rsidP="00EF7D91">
      <w:pPr>
        <w:bidi w:val="0"/>
        <w:spacing w:line="360" w:lineRule="auto"/>
        <w:contextualSpacing/>
        <w:jc w:val="both"/>
        <w:rPr>
          <w:rStyle w:val="fontstyle01"/>
          <w:rFonts w:asciiTheme="majorBidi" w:hAnsiTheme="majorBidi" w:cstheme="majorBidi"/>
        </w:rPr>
      </w:pPr>
      <w:r w:rsidRPr="00EF7D91">
        <w:rPr>
          <w:rStyle w:val="fontstyle01"/>
          <w:rFonts w:asciiTheme="majorBidi" w:hAnsiTheme="majorBidi" w:cstheme="majorBidi"/>
          <w:sz w:val="24"/>
          <w:szCs w:val="24"/>
        </w:rPr>
        <w:t>Brief background</w:t>
      </w:r>
      <w:r w:rsidR="007D786B" w:rsidRPr="00EF7D91">
        <w:rPr>
          <w:rStyle w:val="fontstyle01"/>
          <w:rFonts w:asciiTheme="majorBidi" w:hAnsiTheme="majorBidi" w:cstheme="majorBidi"/>
          <w:sz w:val="24"/>
          <w:szCs w:val="24"/>
        </w:rPr>
        <w:t>:</w:t>
      </w:r>
      <w:r w:rsidR="007D786B" w:rsidRPr="00EF7D91">
        <w:rPr>
          <w:rStyle w:val="fontstyle0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Marine Protected Areas (MPAs) reduce mortality due to habitat destruction and harvesting, with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increased abundance, biomass and diversity often following protection. However, the relevance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of these MPAs to larger-scale benefits such as increased fishing revenue, ecosystem health and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ecological stability will critically depend on “spillover” distance: the distance over which gain in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biomass associated with the MPA can be seem outside of it. Spillover is expected to have a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discernable effect on the size structure of the community, with a faster decrease in the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abundance of large and harvested species away from MPAs. Nevertheless, spillover distance is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hard to estimate and is particularly lacking for MPAs in the eastern Mediterranean.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Modern acoustic methods for surveying natural fish populations have important advantages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over traditional catch-based methods and visual surveys as they cover the entire water column,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are less size selective, and are non-lethal. However, the application of such methods to MPA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management is scarce</w:t>
      </w:r>
      <w:r w:rsidRPr="00EF7D91">
        <w:rPr>
          <w:rStyle w:val="fontstyle21"/>
          <w:rFonts w:asciiTheme="majorBidi" w:hAnsiTheme="majorBidi" w:cstheme="majorBidi"/>
          <w:b/>
          <w:bCs/>
        </w:rPr>
        <w:t xml:space="preserve">. </w:t>
      </w:r>
      <w:r w:rsidRPr="00EF7D91">
        <w:rPr>
          <w:rStyle w:val="fontstyle21"/>
          <w:rFonts w:asciiTheme="majorBidi" w:hAnsiTheme="majorBidi" w:cstheme="majorBidi"/>
        </w:rPr>
        <w:t>Here, we propose to develop and adapt acoustic methods to estimate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the biomass and size structure of fishes (as well as other nekton and plankton) at increasing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distances from MPAs to estimate spillover distance, its seasonality and its relationship to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bottom characteristic.</w:t>
      </w:r>
      <w:r w:rsidRPr="00EF7D91">
        <w:rPr>
          <w:rStyle w:val="fontstyle21"/>
          <w:rFonts w:asciiTheme="majorBidi" w:hAnsiTheme="majorBidi" w:cstheme="majorBidi"/>
          <w:b/>
          <w:bCs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This data is essential for understanding impacts of MPAs on surrounding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habitats, prioritizing management scenarios and as a routine monitoring tool.</w:t>
      </w:r>
    </w:p>
    <w:p w:rsidR="007D786B" w:rsidRPr="00EF7D91" w:rsidRDefault="002576B9" w:rsidP="00EF7D91">
      <w:pPr>
        <w:bidi w:val="0"/>
        <w:spacing w:line="360" w:lineRule="auto"/>
        <w:contextualSpacing/>
        <w:jc w:val="both"/>
        <w:rPr>
          <w:rStyle w:val="fontstyle01"/>
          <w:rFonts w:asciiTheme="majorBidi" w:hAnsiTheme="majorBidi" w:cstheme="majorBidi"/>
        </w:rPr>
      </w:pPr>
      <w:r w:rsidRPr="00EF7D91">
        <w:rPr>
          <w:rStyle w:val="fontstyle01"/>
          <w:rFonts w:asciiTheme="majorBidi" w:hAnsiTheme="majorBidi" w:cstheme="majorBidi"/>
          <w:sz w:val="24"/>
          <w:szCs w:val="24"/>
        </w:rPr>
        <w:t>The knowledge gaps to be addressed</w:t>
      </w:r>
      <w:r w:rsidR="007D786B" w:rsidRPr="00EF7D91">
        <w:rPr>
          <w:rStyle w:val="fontstyle21"/>
          <w:rFonts w:asciiTheme="majorBidi" w:hAnsiTheme="majorBidi" w:cstheme="majorBidi"/>
          <w:sz w:val="24"/>
          <w:szCs w:val="24"/>
        </w:rPr>
        <w:t>:</w:t>
      </w:r>
      <w:r w:rsid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While the beneficial impact of MPAs to fish biomass and abundance is well established, the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degree to which these extend outside of MPAs is less understood. Much of the difficulty in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assessing spillover lays in the limitations of establishing an efficient and non-destructive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 xml:space="preserve">methodology for quantifying abundance and size structure. </w:t>
      </w:r>
      <w:r w:rsidRPr="00EF7D91">
        <w:rPr>
          <w:rStyle w:val="fontstyle21"/>
          <w:rFonts w:asciiTheme="majorBidi" w:hAnsiTheme="majorBidi" w:cstheme="majorBidi"/>
        </w:rPr>
        <w:t>Here, we will implement a novel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broadband echo sounder to obtain first estimates of the distance over which MPAs in the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 xml:space="preserve">eastern Mediterranean exert an ecological impact. </w:t>
      </w:r>
      <w:r w:rsidRPr="00EF7D91">
        <w:rPr>
          <w:rStyle w:val="fontstyle21"/>
          <w:rFonts w:asciiTheme="majorBidi" w:hAnsiTheme="majorBidi" w:cstheme="majorBidi"/>
        </w:rPr>
        <w:t>This study will provide much-needed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ecological information about MPA functioning and will be directly used to understand the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 xml:space="preserve">degree to which MPAs impact their surroundings areas. In </w:t>
      </w:r>
      <w:r w:rsidRPr="00EF7D91">
        <w:rPr>
          <w:rStyle w:val="fontstyle21"/>
          <w:rFonts w:asciiTheme="majorBidi" w:hAnsiTheme="majorBidi" w:cstheme="majorBidi"/>
        </w:rPr>
        <w:lastRenderedPageBreak/>
        <w:t>addition, this study will serve as a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knowledge infrastructure and an important reference to understand future changes in the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functioning of fish communities over the next decades.3</w:t>
      </w:r>
    </w:p>
    <w:p w:rsidR="0084544A" w:rsidRPr="00EF7D91" w:rsidRDefault="002576B9" w:rsidP="00EF7D91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color w:val="000000"/>
        </w:rPr>
      </w:pPr>
      <w:r w:rsidRPr="00EF7D91">
        <w:rPr>
          <w:rStyle w:val="fontstyle01"/>
          <w:rFonts w:asciiTheme="majorBidi" w:hAnsiTheme="majorBidi" w:cstheme="majorBidi"/>
          <w:sz w:val="24"/>
          <w:szCs w:val="24"/>
        </w:rPr>
        <w:t>Applicability of the project to Israeli Mediterranean MPAs</w:t>
      </w:r>
      <w:r w:rsidR="007D786B" w:rsidRPr="00EF7D91">
        <w:rPr>
          <w:rStyle w:val="fontstyle01"/>
          <w:rFonts w:asciiTheme="majorBidi" w:hAnsiTheme="majorBidi" w:cstheme="majorBidi"/>
          <w:sz w:val="24"/>
          <w:szCs w:val="24"/>
        </w:rPr>
        <w:t>:</w:t>
      </w:r>
      <w:r w:rsidR="007D786B" w:rsidRPr="00EF7D91">
        <w:rPr>
          <w:rStyle w:val="fontstyle0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Using novel acoustic methodology, we will estimate fish biomass and size structure at various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distances from MPAs. The relatively fast data acquisition of hydro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acoustic methods is efficient in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time and costs compared to alternative survey methods. This information will be used to: (1)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Quantify the degree to which already established MPAs augment fish biomass and modify their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size structure. (2) Estimate the decline in fish biomass and change in size structure with</w:t>
      </w:r>
      <w:r w:rsidR="007D786B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increasing distances from MPA boundaries (spillover distance). (3) Provide important</w:t>
      </w:r>
      <w:r w:rsidR="00EF7D91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information on the state of soft bottom fish communities within proposed MPAs which are</w:t>
      </w:r>
      <w:r w:rsidR="00EF7D91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currently not quantitatively sampled. (4) Provide an efficient and, importantly, non-destructive</w:t>
      </w:r>
      <w:r w:rsidR="00EF7D91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sampling protocol to estimate fish biomass and size structure to be used as a major future</w:t>
      </w:r>
      <w:r w:rsidR="00EF7D91" w:rsidRPr="00EF7D91">
        <w:rPr>
          <w:rStyle w:val="fontstyle21"/>
          <w:rFonts w:asciiTheme="majorBidi" w:hAnsiTheme="majorBidi" w:cstheme="majorBidi"/>
        </w:rPr>
        <w:t xml:space="preserve"> </w:t>
      </w:r>
      <w:r w:rsidRPr="00EF7D91">
        <w:rPr>
          <w:rStyle w:val="fontstyle21"/>
          <w:rFonts w:asciiTheme="majorBidi" w:hAnsiTheme="majorBidi" w:cstheme="majorBidi"/>
        </w:rPr>
        <w:t>monitoring tool</w:t>
      </w:r>
    </w:p>
    <w:sectPr w:rsidR="0084544A" w:rsidRPr="00EF7D91" w:rsidSect="00383A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B9"/>
    <w:rsid w:val="002576B9"/>
    <w:rsid w:val="00383AD4"/>
    <w:rsid w:val="0076238A"/>
    <w:rsid w:val="007D786B"/>
    <w:rsid w:val="0084544A"/>
    <w:rsid w:val="00E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F33B"/>
  <w15:chartTrackingRefBased/>
  <w15:docId w15:val="{4B9C1465-0474-4F97-8AB4-B9CB820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76B9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576B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</dc:creator>
  <cp:keywords/>
  <dc:description/>
  <cp:lastModifiedBy>Noga</cp:lastModifiedBy>
  <cp:revision>1</cp:revision>
  <dcterms:created xsi:type="dcterms:W3CDTF">2019-08-04T07:53:00Z</dcterms:created>
  <dcterms:modified xsi:type="dcterms:W3CDTF">2019-08-04T12:21:00Z</dcterms:modified>
</cp:coreProperties>
</file>